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279" w:rsidRPr="00E561D8" w:rsidRDefault="006A6279" w:rsidP="006A6279">
      <w:pPr>
        <w:spacing w:after="0" w:line="240" w:lineRule="auto"/>
        <w:rPr>
          <w:rFonts w:ascii="Times New Roman" w:eastAsia="Times New Roman" w:hAnsi="Times New Roman" w:cs="Times New Roman"/>
          <w:b/>
          <w:u w:val="single"/>
          <w:lang w:eastAsia="ar-SA"/>
        </w:rPr>
      </w:pPr>
      <w:bookmarkStart w:id="0" w:name="_GoBack"/>
      <w:bookmarkEnd w:id="0"/>
      <w:r w:rsidRPr="00E561D8">
        <w:rPr>
          <w:rFonts w:ascii="Times New Roman" w:eastAsia="Times New Roman" w:hAnsi="Times New Roman" w:cs="Times New Roman"/>
          <w:b/>
          <w:u w:val="single"/>
          <w:lang w:eastAsia="ar-SA"/>
        </w:rPr>
        <w:t>Päätöksentekoa koskevat keskeiset  säännökset</w:t>
      </w:r>
    </w:p>
    <w:p w:rsidR="006A6279" w:rsidRPr="00E561D8" w:rsidRDefault="006A6279" w:rsidP="006A6279">
      <w:pPr>
        <w:spacing w:after="0" w:line="240" w:lineRule="auto"/>
        <w:rPr>
          <w:rFonts w:ascii="Times New Roman" w:eastAsia="Times New Roman" w:hAnsi="Times New Roman" w:cs="Times New Roman"/>
          <w:lang w:eastAsia="ar-SA"/>
        </w:rPr>
      </w:pPr>
    </w:p>
    <w:p w:rsidR="006A6279" w:rsidRPr="00E561D8" w:rsidRDefault="006A6279" w:rsidP="006A6279">
      <w:pPr>
        <w:numPr>
          <w:ilvl w:val="0"/>
          <w:numId w:val="2"/>
        </w:numPr>
        <w:spacing w:after="0" w:line="240" w:lineRule="auto"/>
        <w:rPr>
          <w:rFonts w:ascii="Times New Roman" w:eastAsia="Times New Roman" w:hAnsi="Times New Roman" w:cs="Times New Roman"/>
        </w:rPr>
      </w:pPr>
      <w:r w:rsidRPr="00E561D8">
        <w:rPr>
          <w:rFonts w:ascii="Times New Roman" w:eastAsia="Times New Roman" w:hAnsi="Times New Roman" w:cs="Times New Roman"/>
        </w:rPr>
        <w:t xml:space="preserve">Lain henkilötietojen käsittelystä Rikosseuraamuslaitoksessa 1 §:n lain soveltamisalaa koskevan säännöksen mukaan ”Tässä laissa säädetään rangaistusten täytäntöönpanon sekä muiden Rikosseuraamuslaitokselle kuuluvien tehtävien suorittamiseksi tarpeellisten henkilörekisterien pitämisestä ja muusta henkilötietojen käsittelystä. Jollei tässä laissa toisin säädetä, henkilötietojen salassapitoon ja luovuttamiseen sovelletaan viranomaisten toiminnan julkisuudesta annettua lakia </w:t>
      </w:r>
      <w:hyperlink r:id="rId6" w:tooltip="Ajantasainen säädös" w:history="1">
        <w:r w:rsidRPr="00E561D8">
          <w:rPr>
            <w:rFonts w:ascii="Times New Roman" w:eastAsia="Times New Roman" w:hAnsi="Times New Roman" w:cs="Times New Roman"/>
          </w:rPr>
          <w:t>(621/1999)</w:t>
        </w:r>
      </w:hyperlink>
      <w:r w:rsidRPr="00E561D8">
        <w:rPr>
          <w:rFonts w:ascii="Times New Roman" w:eastAsia="Times New Roman" w:hAnsi="Times New Roman" w:cs="Times New Roman"/>
        </w:rPr>
        <w:t xml:space="preserve"> sekä muuhun henkilötietojen käsittelyyn henkilötietolakia </w:t>
      </w:r>
      <w:hyperlink r:id="rId7" w:tooltip="Ajantasainen säädös" w:history="1">
        <w:r w:rsidRPr="00E561D8">
          <w:rPr>
            <w:rFonts w:ascii="Times New Roman" w:eastAsia="Times New Roman" w:hAnsi="Times New Roman" w:cs="Times New Roman"/>
          </w:rPr>
          <w:t>(523/1999</w:t>
        </w:r>
      </w:hyperlink>
      <w:r w:rsidRPr="00E561D8">
        <w:rPr>
          <w:rFonts w:ascii="Times New Roman" w:eastAsia="Times New Roman" w:hAnsi="Times New Roman" w:cs="Times New Roman"/>
        </w:rPr>
        <w:t>).</w:t>
      </w:r>
    </w:p>
    <w:p w:rsidR="006A6279" w:rsidRPr="00E561D8" w:rsidRDefault="006A6279" w:rsidP="006A6279">
      <w:pPr>
        <w:spacing w:after="0" w:line="240" w:lineRule="auto"/>
        <w:ind w:left="720"/>
        <w:rPr>
          <w:rFonts w:ascii="Times New Roman" w:eastAsia="Times New Roman" w:hAnsi="Times New Roman" w:cs="Times New Roman"/>
        </w:rPr>
      </w:pPr>
    </w:p>
    <w:p w:rsidR="006A6279" w:rsidRPr="00E561D8" w:rsidRDefault="006A6279" w:rsidP="006A6279">
      <w:pPr>
        <w:numPr>
          <w:ilvl w:val="0"/>
          <w:numId w:val="2"/>
        </w:numPr>
        <w:spacing w:after="0" w:line="240" w:lineRule="auto"/>
        <w:rPr>
          <w:rFonts w:ascii="Times New Roman" w:eastAsia="Times New Roman" w:hAnsi="Times New Roman" w:cs="Times New Roman"/>
        </w:rPr>
      </w:pPr>
      <w:r w:rsidRPr="00E561D8">
        <w:rPr>
          <w:rFonts w:ascii="Times New Roman" w:eastAsia="Times New Roman" w:hAnsi="Times New Roman" w:cs="Times New Roman"/>
        </w:rPr>
        <w:t>Turvallisuustietorekisteri ( 8 §) sisältää vankilassa tai vankilasta käsin tapahtuvan taikka vankeusai-  kaisen rikollisuuden ehkäisemiseksi ja selvittämiseksi sekä laitosturvallisuuden ylläpitämiseksi tarpeellisia tietoja henkilöistä, joiden on syytä epäillä:</w:t>
      </w:r>
    </w:p>
    <w:p w:rsidR="006A6279" w:rsidRPr="00E561D8" w:rsidRDefault="006A6279" w:rsidP="006A6279">
      <w:pPr>
        <w:spacing w:before="100" w:beforeAutospacing="1" w:after="100" w:afterAutospacing="1" w:line="240" w:lineRule="auto"/>
        <w:ind w:firstLine="709"/>
        <w:rPr>
          <w:rFonts w:ascii="Times New Roman" w:eastAsia="Times New Roman" w:hAnsi="Times New Roman" w:cs="Times New Roman"/>
          <w:lang w:eastAsia="fi-FI"/>
        </w:rPr>
      </w:pPr>
      <w:r w:rsidRPr="00E561D8">
        <w:rPr>
          <w:rFonts w:ascii="Times New Roman" w:eastAsia="Times New Roman" w:hAnsi="Times New Roman" w:cs="Times New Roman"/>
          <w:lang w:eastAsia="fi-FI"/>
        </w:rPr>
        <w:t>1) syyllistyvän tai syyllistyneen rikokseen, josta saattaa seurata vankeutta; tai</w:t>
      </w:r>
    </w:p>
    <w:p w:rsidR="006A6279" w:rsidRPr="00E561D8" w:rsidRDefault="006A6279" w:rsidP="006A6279">
      <w:pPr>
        <w:spacing w:before="100" w:beforeAutospacing="1" w:after="100" w:afterAutospacing="1" w:line="240" w:lineRule="auto"/>
        <w:ind w:left="709"/>
        <w:rPr>
          <w:rFonts w:ascii="Times New Roman" w:eastAsia="Times New Roman" w:hAnsi="Times New Roman" w:cs="Times New Roman"/>
          <w:lang w:eastAsia="fi-FI"/>
        </w:rPr>
      </w:pPr>
      <w:r w:rsidRPr="00E561D8">
        <w:rPr>
          <w:rFonts w:ascii="Times New Roman" w:eastAsia="Times New Roman" w:hAnsi="Times New Roman" w:cs="Times New Roman"/>
          <w:lang w:eastAsia="fi-FI"/>
        </w:rPr>
        <w:t>2) myötävaikuttavan tai myötävaikuttaneen rikokseen, josta saattaa seurata enemmän kuin kuusi kuukautta vankeutta.</w:t>
      </w:r>
    </w:p>
    <w:p w:rsidR="006A6279" w:rsidRPr="00E561D8" w:rsidRDefault="006A6279" w:rsidP="006A6279">
      <w:pPr>
        <w:spacing w:before="100" w:beforeAutospacing="1" w:after="100" w:afterAutospacing="1" w:line="240" w:lineRule="auto"/>
        <w:ind w:left="709"/>
        <w:rPr>
          <w:rFonts w:ascii="Times New Roman" w:eastAsia="Times New Roman" w:hAnsi="Times New Roman" w:cs="Times New Roman"/>
          <w:lang w:eastAsia="fi-FI"/>
        </w:rPr>
      </w:pPr>
      <w:r w:rsidRPr="00E561D8">
        <w:rPr>
          <w:rFonts w:ascii="Times New Roman" w:eastAsia="Times New Roman" w:hAnsi="Times New Roman" w:cs="Times New Roman"/>
          <w:lang w:eastAsia="fi-FI"/>
        </w:rPr>
        <w:t>Rekisteri voi sisältää tietoja myös muista poikkeuksellisista turvallisuutta vaarantavista tapahtumista vankilassa sekä tällaisiin tapahtumiin liittyvistä henkilöistä. Muuta henkilöä kuin vankia tai Rikosseuraamuslaitoksen yksikköön otettua koskeva rekisterin käyttötarkoituksen kannalta välttämätön tieto voidaan tallettaa rekisteriin, jos henkilön voidaan perustellusti epäillä syyllistyvän rikokseen tai vaarantavan vankilan turvallisuutta.</w:t>
      </w:r>
    </w:p>
    <w:p w:rsidR="006A6279" w:rsidRPr="00E561D8" w:rsidRDefault="006A6279" w:rsidP="006A6279">
      <w:pPr>
        <w:spacing w:after="0" w:line="240" w:lineRule="auto"/>
        <w:ind w:left="709"/>
        <w:rPr>
          <w:rFonts w:ascii="Times New Roman" w:eastAsia="Times New Roman" w:hAnsi="Times New Roman" w:cs="Times New Roman"/>
        </w:rPr>
      </w:pPr>
      <w:r w:rsidRPr="00E561D8">
        <w:rPr>
          <w:rFonts w:ascii="Times New Roman" w:eastAsia="Times New Roman" w:hAnsi="Times New Roman" w:cs="Times New Roman"/>
          <w:lang w:eastAsia="fi-FI"/>
        </w:rPr>
        <w:t xml:space="preserve">Turvallisuustietorekisterin poikkeuksellisen luonteen vuoksi rekisterin käsittelyyn oikeutettujen joukko on säädetty mahdollisimman suppeaksi. Lain 13 §:n 2 momentin 2 kohdan mukaan turvallisuustietorekisterin tietoja saavat käsitellä vain Rikosseuraamuslaitoksen keskushallintoyksikön erikseen nimeämät Rikosseuraamuslaitoksen virkamiehet. </w:t>
      </w:r>
    </w:p>
    <w:p w:rsidR="006A6279" w:rsidRPr="00E561D8" w:rsidRDefault="006A6279" w:rsidP="006A6279">
      <w:pPr>
        <w:pStyle w:val="Luettelokappale"/>
        <w:numPr>
          <w:ilvl w:val="0"/>
          <w:numId w:val="2"/>
        </w:numPr>
        <w:spacing w:before="100" w:beforeAutospacing="1" w:after="100" w:afterAutospacing="1" w:line="240" w:lineRule="auto"/>
        <w:rPr>
          <w:rFonts w:ascii="Times New Roman" w:eastAsia="Times New Roman" w:hAnsi="Times New Roman" w:cs="Times New Roman"/>
          <w:lang w:eastAsia="fi-FI"/>
        </w:rPr>
      </w:pPr>
      <w:r w:rsidRPr="00E561D8">
        <w:rPr>
          <w:rFonts w:ascii="Times New Roman" w:eastAsia="Times New Roman" w:hAnsi="Times New Roman" w:cs="Times New Roman"/>
          <w:lang w:eastAsia="ar-SA"/>
        </w:rPr>
        <w:t xml:space="preserve">Lain viranomaisten toiminnan julkisuudesta (julkisuuslaki) 11 §:n mukaan </w:t>
      </w:r>
      <w:r w:rsidRPr="00E561D8">
        <w:rPr>
          <w:rFonts w:ascii="Times New Roman" w:eastAsia="Times New Roman" w:hAnsi="Times New Roman" w:cs="Times New Roman"/>
          <w:lang w:eastAsia="fi-FI"/>
        </w:rPr>
        <w:t>hakijalla, valittajalla sekä muulla, jonka oikeutta, etua tai velvollisuutta asia koskee (</w:t>
      </w:r>
      <w:r w:rsidRPr="00E561D8">
        <w:rPr>
          <w:rFonts w:ascii="Times New Roman" w:eastAsia="Times New Roman" w:hAnsi="Times New Roman" w:cs="Times New Roman"/>
          <w:i/>
          <w:iCs/>
          <w:lang w:eastAsia="fi-FI"/>
        </w:rPr>
        <w:t>asianosainen</w:t>
      </w:r>
      <w:r w:rsidRPr="00E561D8">
        <w:rPr>
          <w:rFonts w:ascii="Times New Roman" w:eastAsia="Times New Roman" w:hAnsi="Times New Roman" w:cs="Times New Roman"/>
          <w:lang w:eastAsia="fi-FI"/>
        </w:rPr>
        <w:t>), on oikeus saada asiaa käsittelevältä tai käsitelleeltä viranomaiselta tieto muunkin kuin julkisen asiakirjan sisällöstä, joka voi tai on voinut vaikuttaa hänen asiansa käsittelyyn.</w:t>
      </w:r>
    </w:p>
    <w:p w:rsidR="006A6279" w:rsidRPr="00E561D8" w:rsidRDefault="006A6279" w:rsidP="006A6279">
      <w:pPr>
        <w:spacing w:before="100" w:beforeAutospacing="1" w:after="100" w:afterAutospacing="1" w:line="240" w:lineRule="auto"/>
        <w:ind w:left="720"/>
        <w:rPr>
          <w:rFonts w:ascii="Times New Roman" w:eastAsia="Times New Roman" w:hAnsi="Times New Roman" w:cs="Times New Roman"/>
          <w:lang w:eastAsia="fi-FI"/>
        </w:rPr>
      </w:pPr>
      <w:r w:rsidRPr="00E561D8">
        <w:rPr>
          <w:rFonts w:ascii="Times New Roman" w:eastAsia="Times New Roman" w:hAnsi="Times New Roman" w:cs="Times New Roman"/>
          <w:lang w:eastAsia="fi-FI"/>
        </w:rPr>
        <w:t>Asianosaisella, hänen edustajallaan ja avustajallaan ei ole edellä 1 momentissa tarkoitettua oikeutta:</w:t>
      </w:r>
    </w:p>
    <w:p w:rsidR="006A6279" w:rsidRPr="00E561D8" w:rsidRDefault="006A6279" w:rsidP="006A6279">
      <w:pPr>
        <w:numPr>
          <w:ilvl w:val="0"/>
          <w:numId w:val="1"/>
        </w:numPr>
        <w:spacing w:before="100" w:beforeAutospacing="1" w:after="100" w:afterAutospacing="1" w:line="240" w:lineRule="auto"/>
        <w:rPr>
          <w:rFonts w:ascii="Times New Roman" w:eastAsia="Times New Roman" w:hAnsi="Times New Roman" w:cs="Times New Roman"/>
          <w:lang w:eastAsia="fi-FI"/>
        </w:rPr>
      </w:pPr>
      <w:r w:rsidRPr="00E561D8">
        <w:rPr>
          <w:rFonts w:ascii="Times New Roman" w:eastAsia="Times New Roman" w:hAnsi="Times New Roman" w:cs="Times New Roman"/>
          <w:lang w:eastAsia="fi-FI"/>
        </w:rPr>
        <w:t xml:space="preserve">asiakirjaan, josta tiedon antaminen olisi vastoin erittäin tärkeää yleistä etua taikka lapsen etua tai muuta erittäin tärkeätä yksityistä etua. </w:t>
      </w:r>
    </w:p>
    <w:p w:rsidR="006A6279" w:rsidRPr="00E561D8" w:rsidRDefault="006A6279" w:rsidP="006A6279">
      <w:pPr>
        <w:spacing w:before="100" w:beforeAutospacing="1" w:after="100" w:afterAutospacing="1" w:line="240" w:lineRule="auto"/>
        <w:ind w:left="720"/>
        <w:rPr>
          <w:rFonts w:ascii="Times New Roman" w:eastAsia="Times New Roman" w:hAnsi="Times New Roman" w:cs="Times New Roman"/>
          <w:lang w:eastAsia="fi-FI"/>
        </w:rPr>
      </w:pPr>
      <w:r w:rsidRPr="00E561D8">
        <w:rPr>
          <w:rFonts w:ascii="Times New Roman" w:eastAsia="Times New Roman" w:hAnsi="Times New Roman" w:cs="Times New Roman"/>
          <w:lang w:eastAsia="fi-FI"/>
        </w:rPr>
        <w:t xml:space="preserve">Lain esitöiden (HE 30/1998) mukaan erittäin tärkeä yksityinen etu voi liittyä esimerkiksi yksityiselämän suojaamiseen tai yksilön turvallisuuden varmistamiseen. Erittäin tärkeä yksityinen etu voi vaarantua myös tilanteissa, joissa viranomaiselle on annettu sellaisia tietoja, joiden ilmaiseminen vaarantaisi tietojen antajan turvallisuutta. </w:t>
      </w:r>
    </w:p>
    <w:p w:rsidR="006A6279" w:rsidRPr="00E561D8" w:rsidRDefault="006A6279" w:rsidP="006A6279">
      <w:pPr>
        <w:numPr>
          <w:ilvl w:val="0"/>
          <w:numId w:val="1"/>
        </w:numPr>
        <w:spacing w:before="100" w:beforeAutospacing="1" w:after="100" w:afterAutospacing="1" w:line="240" w:lineRule="auto"/>
        <w:rPr>
          <w:rFonts w:ascii="Times New Roman" w:eastAsia="Times New Roman" w:hAnsi="Times New Roman" w:cs="Times New Roman"/>
          <w:lang w:eastAsia="fi-FI"/>
        </w:rPr>
      </w:pPr>
      <w:r w:rsidRPr="00E561D8">
        <w:rPr>
          <w:rFonts w:ascii="Times New Roman" w:eastAsia="Times New Roman" w:hAnsi="Times New Roman" w:cs="Times New Roman"/>
          <w:lang w:eastAsia="fi-FI"/>
        </w:rPr>
        <w:t>esitutkinnassa ja poliisitutkinnassa esitettyyn tai laadittuun asiakirjaan ennen tutkinnan lopettamista, jos tiedon antamisesta aiheutuisi haittaa asian selvittämiselle</w:t>
      </w:r>
    </w:p>
    <w:p w:rsidR="006A6279" w:rsidRPr="00E561D8" w:rsidRDefault="006A6279" w:rsidP="006A6279">
      <w:pPr>
        <w:numPr>
          <w:ilvl w:val="0"/>
          <w:numId w:val="2"/>
        </w:numPr>
        <w:tabs>
          <w:tab w:val="left" w:pos="567"/>
          <w:tab w:val="left" w:pos="3969"/>
        </w:tabs>
        <w:spacing w:after="0" w:line="240" w:lineRule="auto"/>
        <w:jc w:val="both"/>
        <w:rPr>
          <w:rFonts w:ascii="Times New Roman" w:eastAsia="Times New Roman" w:hAnsi="Times New Roman" w:cs="Times New Roman"/>
          <w:lang w:eastAsia="fi-FI"/>
        </w:rPr>
      </w:pPr>
      <w:r w:rsidRPr="00E561D8">
        <w:rPr>
          <w:rFonts w:ascii="Times New Roman" w:eastAsia="Times New Roman" w:hAnsi="Times New Roman" w:cs="Times New Roman"/>
          <w:lang w:eastAsia="fi-FI"/>
        </w:rPr>
        <w:t xml:space="preserve">  Hallintopäätöksen tekemistä sääntelee hallintolaki (434/2003).</w:t>
      </w:r>
    </w:p>
    <w:p w:rsidR="006A6279" w:rsidRPr="00E561D8" w:rsidRDefault="006A6279" w:rsidP="006A6279">
      <w:pPr>
        <w:spacing w:after="0" w:line="240" w:lineRule="auto"/>
        <w:rPr>
          <w:rFonts w:ascii="Times New Roman" w:eastAsia="Times New Roman" w:hAnsi="Times New Roman" w:cs="Times New Roman"/>
          <w:lang w:eastAsia="ar-SA"/>
        </w:rPr>
      </w:pPr>
    </w:p>
    <w:p w:rsidR="006A6279" w:rsidRPr="00E561D8" w:rsidRDefault="006A6279" w:rsidP="006A6279"/>
    <w:p w:rsidR="000B2E39" w:rsidRPr="00E561D8" w:rsidRDefault="000B2E39"/>
    <w:sectPr w:rsidR="000B2E39" w:rsidRPr="00E561D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5367E"/>
    <w:multiLevelType w:val="hybridMultilevel"/>
    <w:tmpl w:val="6EE49FC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nsid w:val="684B41B6"/>
    <w:multiLevelType w:val="hybridMultilevel"/>
    <w:tmpl w:val="29E22078"/>
    <w:lvl w:ilvl="0" w:tplc="040B0001">
      <w:start w:val="2"/>
      <w:numFmt w:val="bullet"/>
      <w:lvlText w:val=""/>
      <w:lvlJc w:val="left"/>
      <w:pPr>
        <w:ind w:left="720" w:hanging="360"/>
      </w:pPr>
      <w:rPr>
        <w:rFonts w:ascii="Symbol" w:eastAsia="Times New Roman"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279"/>
    <w:rsid w:val="000B2E39"/>
    <w:rsid w:val="00190F1C"/>
    <w:rsid w:val="006A6279"/>
    <w:rsid w:val="00E561D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6A6279"/>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6A62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6A6279"/>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6A62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edilex.fi/lainsaadanto/199905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dilex.fi/lainsaadanto/1999062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2852</Characters>
  <Application>Microsoft Office Word</Application>
  <DocSecurity>4</DocSecurity>
  <Lines>23</Lines>
  <Paragraphs>6</Paragraphs>
  <ScaleCrop>false</ScaleCrop>
  <HeadingPairs>
    <vt:vector size="2" baseType="variant">
      <vt:variant>
        <vt:lpstr>Otsikko</vt:lpstr>
      </vt:variant>
      <vt:variant>
        <vt:i4>1</vt:i4>
      </vt:variant>
    </vt:vector>
  </HeadingPairs>
  <TitlesOfParts>
    <vt:vector size="1" baseType="lpstr">
      <vt:lpstr/>
    </vt:vector>
  </TitlesOfParts>
  <Company>OM</Company>
  <LinksUpToDate>false</LinksUpToDate>
  <CharactersWithSpaces>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Kohvakka Anne</dc:creator>
  <cp:lastModifiedBy>Lehtonen Helena</cp:lastModifiedBy>
  <cp:revision>2</cp:revision>
  <dcterms:created xsi:type="dcterms:W3CDTF">2017-01-31T12:38:00Z</dcterms:created>
  <dcterms:modified xsi:type="dcterms:W3CDTF">2017-01-31T12:38:00Z</dcterms:modified>
</cp:coreProperties>
</file>